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5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209"/>
        <w:gridCol w:w="971"/>
        <w:gridCol w:w="1150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696C77" w:rsidTr="008D68AB">
        <w:trPr>
          <w:trHeight w:val="930"/>
        </w:trPr>
        <w:tc>
          <w:tcPr>
            <w:tcW w:w="2397" w:type="dxa"/>
            <w:shd w:val="clear" w:color="auto" w:fill="E1E6E6" w:themeFill="accent6" w:themeFillTint="33"/>
          </w:tcPr>
          <w:p w:rsidR="00F4675C" w:rsidRDefault="00F4675C"/>
          <w:p w:rsidR="00F4675C" w:rsidRPr="00F4675C" w:rsidRDefault="00F4675C" w:rsidP="00F4675C">
            <w:r>
              <w:t>ÜNİTELER</w:t>
            </w:r>
          </w:p>
        </w:tc>
        <w:tc>
          <w:tcPr>
            <w:tcW w:w="3209" w:type="dxa"/>
            <w:shd w:val="clear" w:color="auto" w:fill="E1E6E6" w:themeFill="accent6" w:themeFillTint="33"/>
          </w:tcPr>
          <w:p w:rsidR="00F4675C" w:rsidRDefault="00F4675C"/>
          <w:p w:rsidR="00F4675C" w:rsidRPr="00F4675C" w:rsidRDefault="00F4675C" w:rsidP="00F4675C">
            <w:r>
              <w:t>KAZANIMLAR</w:t>
            </w:r>
          </w:p>
        </w:tc>
        <w:tc>
          <w:tcPr>
            <w:tcW w:w="5034" w:type="dxa"/>
            <w:gridSpan w:val="5"/>
            <w:shd w:val="clear" w:color="auto" w:fill="E1E6E6" w:themeFill="accent6" w:themeFillTint="33"/>
          </w:tcPr>
          <w:p w:rsidR="00F4675C" w:rsidRDefault="00F4675C" w:rsidP="00F4675C"/>
          <w:p w:rsidR="00F4675C" w:rsidRDefault="00F4675C" w:rsidP="00F4675C">
            <w:r>
              <w:t>OKUL GENELİNDE YAPILACAK ORTAK 1. SINAV</w:t>
            </w:r>
          </w:p>
        </w:tc>
        <w:tc>
          <w:tcPr>
            <w:tcW w:w="4855" w:type="dxa"/>
            <w:gridSpan w:val="5"/>
            <w:shd w:val="clear" w:color="auto" w:fill="E1E6E6" w:themeFill="accent6" w:themeFillTint="33"/>
          </w:tcPr>
          <w:p w:rsidR="00F4675C" w:rsidRDefault="00F4675C" w:rsidP="00F4675C"/>
          <w:p w:rsidR="00F4675C" w:rsidRDefault="00F4675C" w:rsidP="00F4675C">
            <w:r>
              <w:t>OKUL GENELİNDE YAPILACAK ORTAK 2. SINAV</w:t>
            </w:r>
          </w:p>
        </w:tc>
      </w:tr>
      <w:tr w:rsidR="00F4675C" w:rsidTr="008D68AB">
        <w:trPr>
          <w:trHeight w:val="930"/>
        </w:trPr>
        <w:tc>
          <w:tcPr>
            <w:tcW w:w="2397" w:type="dxa"/>
            <w:shd w:val="clear" w:color="auto" w:fill="E1E6E6" w:themeFill="accent6" w:themeFillTint="33"/>
          </w:tcPr>
          <w:p w:rsidR="00F4675C" w:rsidRDefault="00F4675C" w:rsidP="00696C77"/>
        </w:tc>
        <w:tc>
          <w:tcPr>
            <w:tcW w:w="3209" w:type="dxa"/>
            <w:shd w:val="clear" w:color="auto" w:fill="E1E6E6" w:themeFill="accent6" w:themeFillTint="33"/>
          </w:tcPr>
          <w:p w:rsidR="00F4675C" w:rsidRDefault="00F4675C" w:rsidP="00696C77"/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1.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1150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2.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3.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4.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5.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1.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2.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3.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4.</w:t>
            </w:r>
          </w:p>
          <w:p w:rsidR="00F4675C" w:rsidRDefault="00F4675C" w:rsidP="00696C77">
            <w:r>
              <w:t>SENERYO</w:t>
            </w:r>
          </w:p>
        </w:tc>
        <w:tc>
          <w:tcPr>
            <w:tcW w:w="971" w:type="dxa"/>
            <w:shd w:val="clear" w:color="auto" w:fill="E1E6E6" w:themeFill="accent6" w:themeFillTint="33"/>
          </w:tcPr>
          <w:p w:rsidR="00F4675C" w:rsidRDefault="00F4675C" w:rsidP="00696C77">
            <w:r>
              <w:t xml:space="preserve">      5.</w:t>
            </w:r>
          </w:p>
          <w:p w:rsidR="00F4675C" w:rsidRDefault="00F4675C" w:rsidP="00696C77">
            <w:r>
              <w:t>SENERYO</w:t>
            </w:r>
          </w:p>
        </w:tc>
      </w:tr>
      <w:tr w:rsidR="00F4675C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2.ÜNİTE</w:t>
            </w:r>
            <w:r w:rsidR="00696C77" w:rsidRPr="00696C77">
              <w:rPr>
                <w:b/>
              </w:rPr>
              <w:t>:</w:t>
            </w:r>
            <w:r w:rsidRPr="00696C77">
              <w:rPr>
                <w:b/>
              </w:rPr>
              <w:t xml:space="preserve"> KUR'AN-I KERİM'DE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Peygamberimizin alemlere rahmet olarak gönderildiğini kavrar.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E242A3">
            <w:pPr>
              <w:jc w:val="center"/>
            </w:pPr>
          </w:p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</w:tr>
      <w:tr w:rsidR="00F4675C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2.ÜNİTE</w:t>
            </w:r>
            <w:r w:rsidR="00696C77" w:rsidRPr="00696C77">
              <w:rPr>
                <w:b/>
              </w:rPr>
              <w:t>:</w:t>
            </w:r>
            <w:r w:rsidRPr="00696C77">
              <w:rPr>
                <w:b/>
              </w:rPr>
              <w:t xml:space="preserve"> KUR'AN-I KERİM'DE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Peygamberimizin tüm insanlara müjdeleyici ve uyarıcı olarak gönderildiğini kavrar.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</w:tr>
      <w:tr w:rsidR="00F4675C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2.ÜNİTE</w:t>
            </w:r>
            <w:r w:rsidR="00696C77" w:rsidRPr="00696C77">
              <w:rPr>
                <w:b/>
              </w:rPr>
              <w:t>:</w:t>
            </w:r>
            <w:r w:rsidRPr="00696C77">
              <w:rPr>
                <w:b/>
              </w:rPr>
              <w:t xml:space="preserve"> KUR'AN-I KERİM'DE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Peygamberimizin güzel ahlak ile ilgili bir hadisini yorumlar.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8D68AB">
            <w:pPr>
              <w:jc w:val="center"/>
            </w:pPr>
          </w:p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</w:tr>
      <w:tr w:rsidR="00F4675C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F4675C" w:rsidRPr="00696C77" w:rsidRDefault="00F4675C" w:rsidP="00696C77">
            <w:pPr>
              <w:rPr>
                <w:b/>
              </w:rPr>
            </w:pPr>
            <w:r w:rsidRPr="00696C77">
              <w:rPr>
                <w:b/>
              </w:rPr>
              <w:t>3.ÜNİTE</w:t>
            </w:r>
            <w:r w:rsidR="00696C77" w:rsidRPr="00696C77">
              <w:rPr>
                <w:b/>
              </w:rPr>
              <w:t>: P</w:t>
            </w:r>
            <w:r w:rsidRPr="00696C77">
              <w:rPr>
                <w:b/>
              </w:rPr>
              <w:t>EYGAMBERİMİZ VE GENÇLER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F4675C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gençlere verdiği değeri örneklerle açıklar.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1</w:t>
            </w:r>
          </w:p>
        </w:tc>
      </w:tr>
      <w:tr w:rsidR="00F4675C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F4675C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3.ÜNİTE: PEYGAMBERİMİZ VE GENÇLER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F4675C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Genç sahabilerin İslam davetine olan katkılarını açıklar.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F4675C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F4675C" w:rsidRPr="00E242A3" w:rsidRDefault="00E242A3" w:rsidP="00E242A3">
            <w:pPr>
              <w:jc w:val="center"/>
            </w:pPr>
            <w:r>
              <w:t>0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3.ÜNİTE: PEYGAMBERİMİZ VE GENÇLER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gençlik ile ilgili bir hadisini yorumlar.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E242A3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E242A3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E242A3">
            <w:pPr>
              <w:jc w:val="center"/>
            </w:pPr>
            <w:r>
              <w:t>0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4.ÜNİTE: EN GÜZEL ÖRNEK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Allah’a güvenini ve sabrını örneklerle açıklar.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2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4.ÜNİTE: EN GÜZEL ÖRNEK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kararlılığını ve cesaretini örnek olaylarla açıklar.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lastRenderedPageBreak/>
              <w:t>4.ÜNİTE: EN GÜZEL ÖRNEK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hayatında duanın yerini fark eder.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1</w:t>
            </w:r>
          </w:p>
        </w:tc>
        <w:tc>
          <w:tcPr>
            <w:tcW w:w="1150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8D68AB" w:rsidRDefault="008D68AB" w:rsidP="00696C77"/>
          <w:p w:rsidR="00696C77" w:rsidRPr="008D68AB" w:rsidRDefault="008D68AB" w:rsidP="008D68AB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E242A3" w:rsidP="00440072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4.ÜNİTE: EN GÜZEL ÖRNEK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yeme içme konusundaki ölçülerini açıklar.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1150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696C77" w:rsidP="00440072">
            <w:pPr>
              <w:jc w:val="center"/>
            </w:pP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440072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4.ÜNİTE: EN GÜZEL ÖRNEK PEYGAMBERİMİZ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duanın önemi ile ilgili bir hadisini yorumlar.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1150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696C77" w:rsidP="00440072">
            <w:pPr>
              <w:jc w:val="center"/>
            </w:pP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665EAC" w:rsidP="00440072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5. ÜNİTE: SAHABENİN FAZİLETİ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Ayetler ışığında sahabenin faziletini kavrar.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1150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696C77" w:rsidP="00440072">
            <w:pPr>
              <w:jc w:val="center"/>
            </w:pP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440072" w:rsidP="00440072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665EAC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440072" w:rsidP="00440072">
            <w:pPr>
              <w:jc w:val="center"/>
            </w:pPr>
            <w:r>
              <w:t>2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5. ÜNİTE: SAHABENİN FAZİLETİ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sahabilerine verdiği değeri örneklerle açıklar.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1150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696C77" w:rsidP="00440072">
            <w:pPr>
              <w:jc w:val="center"/>
            </w:pP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665EAC" w:rsidP="00440072">
            <w:pPr>
              <w:jc w:val="center"/>
            </w:pPr>
            <w:r>
              <w:t>2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DA443C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1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DA443C" w:rsidP="00DA443C">
            <w:pPr>
              <w:jc w:val="center"/>
            </w:pPr>
            <w:r>
              <w:t>1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5. ÜNİTE: SAHABENİN FAZİLETİ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 xml:space="preserve">Bazı genç sahabileri tanır.  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1150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696C77"/>
          <w:p w:rsidR="00696C77" w:rsidRPr="00E242A3" w:rsidRDefault="00696C77" w:rsidP="00440072">
            <w:pPr>
              <w:jc w:val="center"/>
            </w:pP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</w:tr>
      <w:tr w:rsidR="00696C77" w:rsidTr="008D68AB">
        <w:trPr>
          <w:trHeight w:val="930"/>
        </w:trPr>
        <w:tc>
          <w:tcPr>
            <w:tcW w:w="2397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5. ÜNİTE: SAHABENİN FAZİLETİ</w:t>
            </w:r>
          </w:p>
        </w:tc>
        <w:tc>
          <w:tcPr>
            <w:tcW w:w="3209" w:type="dxa"/>
            <w:shd w:val="clear" w:color="auto" w:fill="A7B3B5" w:themeFill="accent6" w:themeFillTint="99"/>
          </w:tcPr>
          <w:p w:rsidR="00696C77" w:rsidRPr="00696C77" w:rsidRDefault="00696C77" w:rsidP="00696C77">
            <w:pPr>
              <w:rPr>
                <w:b/>
              </w:rPr>
            </w:pPr>
            <w:r w:rsidRPr="00696C77">
              <w:rPr>
                <w:b/>
              </w:rPr>
              <w:t>Peygamberimizin sahabe sevgisi ile ilgili bir hadisini yorumlar.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1150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696C77" w:rsidRDefault="00696C77" w:rsidP="00696C77"/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696C77" w:rsidP="00440072">
            <w:pPr>
              <w:jc w:val="center"/>
            </w:pP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  <w:tc>
          <w:tcPr>
            <w:tcW w:w="971" w:type="dxa"/>
            <w:shd w:val="clear" w:color="auto" w:fill="C4CCCD" w:themeFill="accent6" w:themeFillTint="66"/>
          </w:tcPr>
          <w:p w:rsidR="00E242A3" w:rsidRDefault="00E242A3" w:rsidP="00440072">
            <w:pPr>
              <w:jc w:val="center"/>
            </w:pPr>
          </w:p>
          <w:p w:rsidR="00696C77" w:rsidRPr="00E242A3" w:rsidRDefault="00E242A3" w:rsidP="00440072">
            <w:pPr>
              <w:jc w:val="center"/>
            </w:pPr>
            <w:r>
              <w:t>0</w:t>
            </w:r>
          </w:p>
        </w:tc>
      </w:tr>
    </w:tbl>
    <w:p w:rsidR="00C7361B" w:rsidRDefault="00C7361B" w:rsidP="00696C77"/>
    <w:sectPr w:rsidR="00C7361B" w:rsidSect="00F4675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89E" w:rsidRDefault="00CD389E" w:rsidP="00696C77">
      <w:pPr>
        <w:spacing w:after="0" w:line="240" w:lineRule="auto"/>
      </w:pPr>
      <w:r>
        <w:separator/>
      </w:r>
    </w:p>
  </w:endnote>
  <w:endnote w:type="continuationSeparator" w:id="0">
    <w:p w:rsidR="00CD389E" w:rsidRDefault="00CD389E" w:rsidP="006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89E" w:rsidRDefault="00CD389E" w:rsidP="00696C77">
      <w:pPr>
        <w:spacing w:after="0" w:line="240" w:lineRule="auto"/>
      </w:pPr>
      <w:r>
        <w:separator/>
      </w:r>
    </w:p>
  </w:footnote>
  <w:footnote w:type="continuationSeparator" w:id="0">
    <w:p w:rsidR="00CD389E" w:rsidRDefault="00CD389E" w:rsidP="0069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77" w:rsidRPr="00696C77" w:rsidRDefault="00696C77" w:rsidP="00696C77">
    <w:pPr>
      <w:pStyle w:val="stBilgi"/>
      <w:jc w:val="center"/>
      <w:rPr>
        <w:b/>
      </w:rPr>
    </w:pPr>
    <w:r w:rsidRPr="00696C77">
      <w:rPr>
        <w:b/>
      </w:rPr>
      <w:t>6. SINIF PEYGAMBERİMİZİN HAYATI 2. DÖNEM KONU SORU DAĞILIM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A0"/>
    <w:rsid w:val="00115D5C"/>
    <w:rsid w:val="00440072"/>
    <w:rsid w:val="00665EAC"/>
    <w:rsid w:val="00696C77"/>
    <w:rsid w:val="008C6FA0"/>
    <w:rsid w:val="008D68AB"/>
    <w:rsid w:val="00A010E2"/>
    <w:rsid w:val="00C7361B"/>
    <w:rsid w:val="00CD389E"/>
    <w:rsid w:val="00DA443C"/>
    <w:rsid w:val="00E242A3"/>
    <w:rsid w:val="00E950D7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8E0F-654E-4287-B5A2-AF014E9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6C77"/>
  </w:style>
  <w:style w:type="paragraph" w:styleId="AltBilgi">
    <w:name w:val="footer"/>
    <w:basedOn w:val="Normal"/>
    <w:link w:val="AltBilgiChar"/>
    <w:uiPriority w:val="99"/>
    <w:unhideWhenUsed/>
    <w:rsid w:val="0069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Mor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0AF6-7441-40E4-B7B3-7A0AC9004E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bturkmen18@gmail.com</cp:lastModifiedBy>
  <cp:revision>2</cp:revision>
  <dcterms:created xsi:type="dcterms:W3CDTF">2024-02-11T15:33:00Z</dcterms:created>
  <dcterms:modified xsi:type="dcterms:W3CDTF">2024-02-11T15:33:00Z</dcterms:modified>
</cp:coreProperties>
</file>